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AF" w:rsidRDefault="00701BAF" w:rsidP="00701BAF">
      <w:pPr>
        <w:pStyle w:val="1"/>
      </w:pPr>
      <w:r>
        <w:t>(64-17-5)乙醇的理化及危险特性表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118"/>
        <w:gridCol w:w="2398"/>
        <w:gridCol w:w="2170"/>
      </w:tblGrid>
      <w:tr w:rsidR="00701BAF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中文名：乙醇；酒精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 ethyl alcohol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 w:hint="eastAsia"/>
              </w:rPr>
              <w:t>ethanol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 C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6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 46.07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UN编号：1170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3.2</w:t>
            </w:r>
            <w:r>
              <w:rPr>
                <w:rFonts w:ascii="宋体" w:hAnsi="宋体" w:hint="eastAsia"/>
              </w:rPr>
              <w:t>类 中闪点易燃液体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32061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CAS号：64-17-5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外观与性状：无色液体，有酒香。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  <w:spacing w:val="-6"/>
              </w:rPr>
            </w:pPr>
            <w:r>
              <w:rPr>
                <w:rFonts w:ascii="宋体" w:hAnsi="宋体" w:hint="eastAsia"/>
              </w:rPr>
              <w:t>溶解性：与水混溶，可混溶于醚、氯仿、甘油等多数有机溶剂。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熔点（℃）：－114.1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沸点（℃）：78.3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相对密度（水＝1）：0.79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相对密度（空气＝1）：1.59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饱和蒸气压（kPa）：5.33(19℃)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燃烧热（kJ/mol）：1365.5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临界温度（℃）：243.1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临界压力（MPa）：6.38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闪点（℃）：12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爆炸下限（%）：3.3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爆炸上限（%）：19.0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引燃温度（℃）：363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最大爆炸压力（MPa）：0.735 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强氧化剂、酸类、酸酐、碱金属、胺类。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易燃，其蒸气能与空气可形成爆炸性混合物。遇明火、高热能引起燃烧爆炸。与氧化剂接触发生化学反应或引起燃烧。在火场中，受热的容器有爆炸危险。其蒸气比空气重，能在较低处扩散到相当远的地方，遇明火会引着回燃。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灭火方法：尽可能将容器从火场移至空旷处。喷水保持火场容器冷却，直至灭火结束。灭火剂：抗溶性泡沫、干粉、二氧化碳、砂土。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：5060</w:t>
            </w:r>
            <w:r>
              <w:rPr>
                <w:rFonts w:ascii="宋体" w:hAnsi="宋体"/>
              </w:rPr>
              <w:t xml:space="preserve"> mg/kg</w:t>
            </w:r>
            <w:r>
              <w:rPr>
                <w:rFonts w:ascii="宋体" w:hAnsi="宋体" w:hint="eastAsia"/>
              </w:rPr>
              <w:t>(兔经口)； 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：7430</w:t>
            </w:r>
            <w:r>
              <w:rPr>
                <w:rFonts w:ascii="宋体" w:hAnsi="宋体"/>
              </w:rPr>
              <w:t xml:space="preserve"> 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>(兔经皮)；</w:t>
            </w:r>
          </w:p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LC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：37620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，10小时(大鼠吸入)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本品为中枢神经系统抑制剂。首先引起兴奋，随后抑制。</w:t>
            </w:r>
          </w:p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急性中毒：急性中毒多发生于口服。一般可分为兴奋、催眠、麻醉、窒息四阶段。患者进入第三或第四阶段，出现意识丧失、瞳孔扩大、呼吸不规律、休克、心里循环衰竭及呼吸停止。</w:t>
            </w:r>
          </w:p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慢性影响：在生产中长期接触高浓度本品可引起鼻、眼、粘膜刺激症状，以及头痛、头晕、疲乏、易激动、震颤、恶心等。长期酗酒可引起多发性神经病、慢性胃炎、脂肪肝、肝硬化、心肌损害及器质性精神病等。皮肤长期接触可引起干燥、脱屑、皲裂和皮炎。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皮肤接触：脱去被污染的衣着，用流动清水冲洗。    ※眼睛接触：立即提起眼睑，用流动清水或生理盐水冲洗。就医。    ※吸入：迅速脱离现场至空气新鲜处。就医。    ※食入：饮足量温水，催吐。就医。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工程控制：生产过程密闭，全面通风。提供安全淋浴和洗眼设备。    ※呼吸系统防护：一般不需要特殊防护，高浓度接触时可佩戴过滤式防毒面具(半面罩)。   ※眼睛防护：一般不需要特殊防护。    ※身体防护：穿防静电工作服。   ※手防护：戴一般作业防护手套。    ※其他：工作现场严禁吸烟。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污染区人员至安全区，并进行隔离，严格限制出入。切断火源。建议应急处理人员戴自给正压式呼吸器，穿消防防护服。尽可能切断泄漏源，防止进入下水道、排洪沟等限制性空间。小量泄漏：用砂土或其它不燃材料吸附或吸收。也可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 w:rsidR="00701BAF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701BAF" w:rsidRDefault="00701BAF" w:rsidP="0090435F"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BAF" w:rsidRDefault="00701B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内温度不宜超过30℃。防止阳光直射。保持容器密封。与氧化剂分开存放，储存间内的照明、通风等设施应采用防爆型，开关设在仓外。配备相应品种和数量的消防器材。桶装堆垛不可过大，应留墙距、顶距、柱距及必要的防火检查走道。罐储时要有防火放爆技术措施。露天贮罐夏季要有降温措施。禁止使用易产生火花的机械设备和工具。灌装时应注意流速（不超过3m/s）,且有接地装置，防止静电积聚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AF"/>
    <w:rsid w:val="00701BAF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A09F6-A473-44AA-BD33-D3790385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01BAF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01BAF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>zyhq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